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noWrap w:val="0"/>
            <w:vAlign w:val="top"/>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639" w:type="dxa"/>
            <w:gridSpan w:val="9"/>
            <w:tcBorders>
              <w:top w:val="nil"/>
              <w:left w:val="nil"/>
              <w:bottom w:val="single" w:color="auto" w:sz="4" w:space="0"/>
              <w:right w:val="nil"/>
            </w:tcBorders>
            <w:noWrap w:val="0"/>
            <w:vAlign w:val="center"/>
          </w:tcPr>
          <w:p>
            <w:pPr>
              <w:spacing w:line="288" w:lineRule="auto"/>
              <w:jc w:val="left"/>
              <w:rPr>
                <w:rFonts w:ascii="宋体" w:hAnsi="宋体" w:cs="宋体"/>
                <w:sz w:val="28"/>
                <w:szCs w:val="28"/>
              </w:rPr>
            </w:pPr>
            <w:bookmarkStart w:id="0" w:name="PO_part2DivName7"/>
            <w:r>
              <w:rPr>
                <w:rFonts w:hint="eastAsia" w:ascii="宋体" w:hAnsi="宋体" w:cs="宋体"/>
                <w:kern w:val="0"/>
                <w:sz w:val="20"/>
                <w:szCs w:val="20"/>
              </w:rPr>
              <w:t xml:space="preserve"> 单位</w:t>
            </w:r>
            <w:r>
              <w:rPr>
                <w:rFonts w:hint="eastAsia" w:ascii="宋体" w:hAnsi="宋体" w:cs="宋体"/>
                <w:kern w:val="0"/>
                <w:sz w:val="11"/>
                <w:szCs w:val="11"/>
              </w:rPr>
              <w:t xml:space="preserve"> </w:t>
            </w:r>
            <w:bookmarkEnd w:id="0"/>
            <w:r>
              <w:rPr>
                <w:rFonts w:hint="eastAsia" w:ascii="宋体" w:hAnsi="宋体" w:cs="宋体"/>
                <w:kern w:val="0"/>
                <w:sz w:val="20"/>
                <w:szCs w:val="20"/>
              </w:rPr>
              <w:t>：</w:t>
            </w:r>
            <w:bookmarkStart w:id="1" w:name="PO_part2Table7DivName1"/>
            <w:r>
              <w:rPr>
                <w:rFonts w:hint="eastAsia" w:ascii="宋体" w:hAnsi="宋体" w:cs="宋体"/>
                <w:kern w:val="0"/>
                <w:sz w:val="20"/>
                <w:szCs w:val="20"/>
              </w:rPr>
              <w:t xml:space="preserve">鹤山市公职律师事务所 </w:t>
            </w:r>
            <w:bookmarkEnd w:id="1"/>
          </w:p>
        </w:tc>
        <w:tc>
          <w:tcPr>
            <w:tcW w:w="3535" w:type="dxa"/>
            <w:gridSpan w:val="3"/>
            <w:tcBorders>
              <w:top w:val="nil"/>
              <w:left w:val="nil"/>
              <w:bottom w:val="single" w:color="auto" w:sz="4" w:space="0"/>
              <w:right w:val="nil"/>
            </w:tcBorders>
            <w:noWrap w:val="0"/>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3" w:type="dxa"/>
            <w:gridSpan w:val="6"/>
            <w:tcBorders>
              <w:top w:val="single" w:color="auto" w:sz="4" w:space="0"/>
            </w:tcBorders>
            <w:noWrap w:val="0"/>
            <w:vAlign w:val="center"/>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noWrap w:val="0"/>
            <w:vAlign w:val="center"/>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restart"/>
            <w:noWrap w:val="0"/>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noWrap w:val="0"/>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noWrap w:val="0"/>
            <w:vAlign w:val="center"/>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noWrap w:val="0"/>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noWrap w:val="0"/>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noWrap w:val="0"/>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noWrap w:val="0"/>
            <w:vAlign w:val="center"/>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noWrap w:val="0"/>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continue"/>
            <w:noWrap w:val="0"/>
            <w:vAlign w:val="top"/>
          </w:tcPr>
          <w:p>
            <w:pPr>
              <w:spacing w:line="288" w:lineRule="auto"/>
              <w:rPr>
                <w:rFonts w:ascii="宋体" w:hAnsi="宋体" w:cs="宋体"/>
                <w:szCs w:val="21"/>
              </w:rPr>
            </w:pPr>
          </w:p>
        </w:tc>
        <w:tc>
          <w:tcPr>
            <w:tcW w:w="1182" w:type="dxa"/>
            <w:vMerge w:val="continue"/>
            <w:noWrap w:val="0"/>
            <w:vAlign w:val="top"/>
          </w:tcPr>
          <w:p>
            <w:pPr>
              <w:spacing w:line="288" w:lineRule="auto"/>
              <w:rPr>
                <w:rFonts w:ascii="宋体" w:hAnsi="宋体" w:cs="宋体"/>
                <w:szCs w:val="21"/>
              </w:rPr>
            </w:pP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noWrap w:val="0"/>
            <w:vAlign w:val="top"/>
          </w:tcPr>
          <w:p>
            <w:pPr>
              <w:spacing w:line="288" w:lineRule="auto"/>
              <w:rPr>
                <w:rFonts w:ascii="宋体" w:hAnsi="宋体" w:cs="宋体"/>
                <w:szCs w:val="21"/>
              </w:rPr>
            </w:pPr>
          </w:p>
        </w:tc>
        <w:tc>
          <w:tcPr>
            <w:tcW w:w="1182" w:type="dxa"/>
            <w:vMerge w:val="continue"/>
            <w:noWrap w:val="0"/>
            <w:vAlign w:val="top"/>
          </w:tcPr>
          <w:p>
            <w:pPr>
              <w:spacing w:line="288" w:lineRule="auto"/>
              <w:rPr>
                <w:rFonts w:ascii="宋体" w:hAnsi="宋体" w:cs="宋体"/>
                <w:szCs w:val="21"/>
              </w:rPr>
            </w:pPr>
          </w:p>
        </w:tc>
        <w:tc>
          <w:tcPr>
            <w:tcW w:w="1182" w:type="dxa"/>
            <w:vMerge w:val="continue"/>
            <w:noWrap w:val="0"/>
            <w:vAlign w:val="top"/>
          </w:tcPr>
          <w:p>
            <w:pPr>
              <w:spacing w:line="288" w:lineRule="auto"/>
              <w:rPr>
                <w:rFonts w:ascii="宋体" w:hAnsi="宋体" w:cs="宋体"/>
                <w:szCs w:val="21"/>
              </w:rPr>
            </w:pP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noWrap w:val="0"/>
            <w:vAlign w:val="top"/>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noWrap w:val="0"/>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noWrap w:val="0"/>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noWrap w:val="0"/>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noWrap w:val="0"/>
            <w:vAlign w:val="center"/>
          </w:tcPr>
          <w:p>
            <w:pPr>
              <w:widowControl/>
              <w:jc w:val="right"/>
              <w:rPr>
                <w:rFonts w:ascii="宋体" w:hAnsi="宋体" w:cs="宋体"/>
                <w:kern w:val="0"/>
                <w:szCs w:val="21"/>
              </w:rPr>
            </w:pPr>
            <w:r>
              <w:rPr>
                <w:rFonts w:hint="eastAsia" w:ascii="宋体" w:hAnsi="宋体" w:cs="宋体"/>
                <w:kern w:val="0"/>
                <w:szCs w:val="21"/>
                <w:lang w:val="en-US" w:eastAsia="zh-CN"/>
              </w:rPr>
              <w:t>1.00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c>
          <w:tcPr>
            <w:tcW w:w="1171" w:type="dxa"/>
            <w:noWrap w:val="0"/>
            <w:vAlign w:val="center"/>
          </w:tcPr>
          <w:p>
            <w:pPr>
              <w:widowControl/>
              <w:jc w:val="right"/>
              <w:rPr>
                <w:rFonts w:ascii="宋体" w:hAnsi="宋体" w:cs="宋体"/>
                <w:kern w:val="0"/>
                <w:szCs w:val="21"/>
              </w:rPr>
            </w:pPr>
            <w:r>
              <w:rPr>
                <w:rFonts w:hint="eastAsia" w:ascii="宋体" w:hAnsi="宋体" w:cs="宋体"/>
                <w:kern w:val="0"/>
                <w:szCs w:val="21"/>
              </w:rPr>
              <w:t>0.00</w:t>
            </w:r>
          </w:p>
        </w:tc>
      </w:tr>
    </w:tbl>
    <w:p>
      <w:pPr>
        <w:spacing w:line="360" w:lineRule="auto"/>
        <w:ind w:firstLine="420" w:firstLineChars="200"/>
        <w:rPr>
          <w:rFonts w:ascii="宋体" w:hAnsi="宋体" w:cs="宋体"/>
          <w:szCs w:val="21"/>
        </w:rPr>
      </w:pPr>
      <w:r>
        <w:rPr>
          <w:rFonts w:hint="eastAsia" w:ascii="宋体" w:hAnsi="宋体" w:cs="宋体"/>
          <w:szCs w:val="21"/>
        </w:rPr>
        <w:t>注：本表反映单位本年度“三公”经费支出预决算情况。其中，预算数为“三公”经费全年预算数，反映按规定程序调整后的预算数；决算数是包括当年一般公共预算财政拨款和以前年度结转资金安排的实际支出。</w:t>
      </w:r>
    </w:p>
    <w:p>
      <w:bookmarkStart w:id="2" w:name="_GoBack"/>
      <w:bookmarkEnd w:id="2"/>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wNTIzNjllMGQzM2I2ODEyOTVhM2U4NjlhNTgyMzAifQ=="/>
  </w:docVars>
  <w:rsids>
    <w:rsidRoot w:val="00000000"/>
    <w:rsid w:val="286C6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2022-10-19T02:09:07Z</dcterms:created>
  <dc:creator>Administrator</dc:creator>
  <cp:lastModifiedBy>Jammi</cp:lastModifiedBy>
  <dcterms:modified xsi:type="dcterms:W3CDTF">2022-10-19T02:09:14Z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45F917F527AA4338B36C83EE2A62B411</vt:lpwstr>
  </property>
</Properties>
</file>